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宋体" w:eastAsia="方正小标宋简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val="en-US" w:eastAsia="zh-CN"/>
        </w:rPr>
        <w:t>焦作市</w:t>
      </w:r>
      <w:r>
        <w:rPr>
          <w:rFonts w:hint="eastAsia" w:ascii="方正小标宋简体" w:hAnsi="宋体" w:eastAsia="方正小标宋简体" w:cs="宋体"/>
          <w:sz w:val="44"/>
          <w:szCs w:val="44"/>
        </w:rPr>
        <w:t>公共资源交易管理委员会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val="en-US" w:eastAsia="zh-CN"/>
        </w:rPr>
        <w:t>关于印发《</w:t>
      </w:r>
      <w:r>
        <w:rPr>
          <w:rFonts w:hint="eastAsia" w:ascii="方正小标宋简体" w:hAnsi="Times New Roman" w:eastAsia="方正小标宋简体" w:cs="Times New Roman"/>
          <w:sz w:val="44"/>
          <w:szCs w:val="44"/>
          <w:lang w:eastAsia="zh-CN"/>
        </w:rPr>
        <w:t>焦作</w:t>
      </w:r>
      <w:r>
        <w:rPr>
          <w:rFonts w:hint="eastAsia" w:ascii="方正小标宋简体" w:hAnsi="Times New Roman" w:eastAsia="方正小标宋简体" w:cs="Times New Roman"/>
          <w:sz w:val="44"/>
          <w:szCs w:val="44"/>
        </w:rPr>
        <w:t>市</w:t>
      </w:r>
      <w:r>
        <w:rPr>
          <w:rFonts w:hint="eastAsia" w:ascii="方正小标宋简体" w:hAnsi="Times New Roman" w:eastAsia="方正小标宋简体" w:cs="Times New Roman"/>
          <w:sz w:val="44"/>
          <w:szCs w:val="44"/>
          <w:lang w:eastAsia="zh-CN"/>
        </w:rPr>
        <w:t>工程建设招标代理机构</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rPr>
        <w:t>负面</w:t>
      </w:r>
      <w:r>
        <w:rPr>
          <w:rFonts w:hint="eastAsia" w:ascii="方正小标宋简体" w:hAnsi="Times New Roman" w:eastAsia="方正小标宋简体" w:cs="Times New Roman"/>
          <w:sz w:val="44"/>
          <w:szCs w:val="44"/>
          <w:lang w:eastAsia="zh-CN"/>
        </w:rPr>
        <w:t>行为</w:t>
      </w:r>
      <w:r>
        <w:rPr>
          <w:rFonts w:hint="eastAsia" w:ascii="方正小标宋简体" w:hAnsi="Times New Roman" w:eastAsia="方正小标宋简体" w:cs="Times New Roman"/>
          <w:sz w:val="44"/>
          <w:szCs w:val="44"/>
        </w:rPr>
        <w:t>清单</w:t>
      </w:r>
      <w:r>
        <w:rPr>
          <w:rFonts w:hint="eastAsia" w:ascii="方正小标宋简体" w:hAnsi="Times New Roman" w:eastAsia="方正小标宋简体" w:cs="Times New Roman"/>
          <w:sz w:val="44"/>
          <w:szCs w:val="44"/>
          <w:lang w:eastAsia="zh-CN"/>
        </w:rPr>
        <w:t>》</w:t>
      </w:r>
      <w:r>
        <w:rPr>
          <w:rFonts w:hint="eastAsia" w:ascii="方正小标宋简体" w:hAnsi="Times New Roman" w:eastAsia="方正小标宋简体" w:cs="Times New Roman"/>
          <w:sz w:val="44"/>
          <w:szCs w:val="44"/>
          <w:lang w:val="en-US" w:eastAsia="zh-CN"/>
        </w:rPr>
        <w:t>的通知</w:t>
      </w:r>
    </w:p>
    <w:p>
      <w:pPr>
        <w:keepLines w:val="0"/>
        <w:widowControl w:val="0"/>
        <w:snapToGrid/>
        <w:spacing w:before="0" w:beforeAutospacing="0" w:after="0" w:afterAutospacing="0" w:line="560" w:lineRule="exact"/>
        <w:ind w:left="0" w:leftChars="0" w:right="0"/>
        <w:jc w:val="center"/>
        <w:textAlignment w:val="baseline"/>
        <w:rPr>
          <w:rFonts w:hint="eastAsia" w:ascii="楷体_GB2312" w:hAnsi="楷体_GB2312" w:eastAsia="楷体_GB2312" w:cs="楷体_GB2312"/>
          <w:b w:val="0"/>
          <w:i w:val="0"/>
          <w:caps w:val="0"/>
          <w:spacing w:val="0"/>
          <w:w w:val="100"/>
          <w:sz w:val="32"/>
          <w:szCs w:val="32"/>
          <w:lang w:eastAsia="zh-CN"/>
        </w:rPr>
      </w:pPr>
      <w:r>
        <w:rPr>
          <w:rFonts w:hint="eastAsia" w:ascii="楷体_GB2312" w:hAnsi="楷体_GB2312" w:eastAsia="楷体_GB2312" w:cs="楷体_GB2312"/>
          <w:b w:val="0"/>
          <w:i w:val="0"/>
          <w:caps w:val="0"/>
          <w:spacing w:val="0"/>
          <w:w w:val="100"/>
          <w:sz w:val="32"/>
          <w:szCs w:val="32"/>
          <w:lang w:eastAsia="zh-CN"/>
        </w:rPr>
        <w:t>（</w:t>
      </w:r>
      <w:r>
        <w:rPr>
          <w:rFonts w:hint="eastAsia" w:ascii="楷体_GB2312" w:hAnsi="楷体_GB2312" w:eastAsia="楷体_GB2312" w:cs="楷体_GB2312"/>
          <w:b w:val="0"/>
          <w:i w:val="0"/>
          <w:caps w:val="0"/>
          <w:spacing w:val="0"/>
          <w:w w:val="100"/>
          <w:sz w:val="32"/>
          <w:szCs w:val="32"/>
          <w:lang w:val="en-US" w:eastAsia="zh-CN"/>
        </w:rPr>
        <w:t>征求意见稿</w:t>
      </w:r>
      <w:r>
        <w:rPr>
          <w:rFonts w:hint="eastAsia" w:ascii="楷体_GB2312" w:hAnsi="楷体_GB2312" w:eastAsia="楷体_GB2312" w:cs="楷体_GB2312"/>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各县（市）、市城乡一体化示范区公共资源交易管理委员会，市公共资源交易管理委员会各成员单位，各有关单位：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加强公共资源交易监督管理，切实规范招标代理行为，维护公共资源交易秩序和市场主体合法权益，依据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招标投标法》《</w:t>
      </w:r>
      <w:r>
        <w:rPr>
          <w:rFonts w:ascii="Times New Roman" w:hAnsi="Times New Roman" w:eastAsia="仿宋_GB2312" w:cs="Times New Roman"/>
          <w:sz w:val="32"/>
          <w:szCs w:val="32"/>
        </w:rPr>
        <w:t>招标投标法实施条例》</w:t>
      </w:r>
      <w:r>
        <w:rPr>
          <w:rFonts w:hint="eastAsia" w:ascii="Times New Roman" w:hAnsi="Times New Roman" w:eastAsia="仿宋_GB2312" w:cs="Times New Roman"/>
          <w:sz w:val="32"/>
          <w:szCs w:val="32"/>
          <w:lang w:eastAsia="zh-CN"/>
        </w:rPr>
        <w:t>《关于严格执行招标投标法规制度进一步规</w:t>
      </w:r>
      <w:r>
        <w:rPr>
          <w:rFonts w:hint="eastAsia" w:ascii="方正仿宋_GBK" w:hAnsi="方正仿宋_GBK" w:eastAsia="方正仿宋_GBK" w:cs="方正仿宋_GBK"/>
          <w:sz w:val="32"/>
          <w:szCs w:val="32"/>
          <w:lang w:eastAsia="zh-CN"/>
        </w:rPr>
        <w:t>范招标投标主体行为的若干意见》（发改法规规〔2022〕1117号）</w:t>
      </w:r>
      <w:r>
        <w:rPr>
          <w:rFonts w:ascii="Times New Roman" w:hAnsi="Times New Roman" w:eastAsia="仿宋_GB2312" w:cs="Times New Roman"/>
          <w:sz w:val="32"/>
          <w:szCs w:val="32"/>
        </w:rPr>
        <w:t>等法律法规</w:t>
      </w:r>
      <w:r>
        <w:rPr>
          <w:rFonts w:hint="eastAsia" w:ascii="Times New Roman" w:hAnsi="Times New Roman" w:eastAsia="仿宋_GB2312" w:cs="Times New Roman"/>
          <w:sz w:val="32"/>
          <w:szCs w:val="32"/>
          <w:lang w:eastAsia="zh-CN"/>
        </w:rPr>
        <w:t>及相关文件精神，研究制定了《焦作市工程建设招标代理机构负面行为清单》。现印发给你们，请认真贯彻执行。各级公共资源交易监管部门要加强招标代理机构及从业人员的动态监管，将招标代理行为作为“双随机、一公开”监管的重点内容，通过定向和不定向监督检查、定期和不定期监督检查的方式，严格规范代理机构各类负面行为，对参与围标串标等扰乱市场秩序的行为严格依法实施行政处罚，并纳入信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焦作</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工程建设招标代理机构</w:t>
      </w:r>
      <w:r>
        <w:rPr>
          <w:rFonts w:hint="eastAsia" w:ascii="Times New Roman" w:hAnsi="Times New Roman" w:eastAsia="仿宋_GB2312" w:cs="Times New Roman"/>
          <w:sz w:val="32"/>
          <w:szCs w:val="32"/>
        </w:rPr>
        <w:t>负面</w:t>
      </w:r>
      <w:r>
        <w:rPr>
          <w:rFonts w:hint="eastAsia" w:ascii="Times New Roman" w:hAnsi="Times New Roman" w:eastAsia="仿宋_GB2312" w:cs="Times New Roman"/>
          <w:sz w:val="32"/>
          <w:szCs w:val="32"/>
          <w:lang w:eastAsia="zh-CN"/>
        </w:rPr>
        <w:t>行为</w:t>
      </w:r>
      <w:r>
        <w:rPr>
          <w:rFonts w:hint="eastAsia" w:ascii="Times New Roman" w:hAnsi="Times New Roman" w:eastAsia="仿宋_GB2312" w:cs="Times New Roman"/>
          <w:sz w:val="32"/>
          <w:szCs w:val="32"/>
        </w:rPr>
        <w:t>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 日</w:t>
      </w:r>
    </w:p>
    <w:p>
      <w:pPr>
        <w:keepNext w:val="0"/>
        <w:keepLines w:val="0"/>
        <w:pageBreakBefore w:val="0"/>
        <w:widowControl w:val="0"/>
        <w:kinsoku/>
        <w:wordWrap/>
        <w:overflowPunct w:val="0"/>
        <w:topLinePunct w:val="0"/>
        <w:autoSpaceDE/>
        <w:autoSpaceDN/>
        <w:bidi w:val="0"/>
        <w:adjustRightInd w:val="0"/>
        <w:snapToGrid/>
        <w:spacing w:line="640" w:lineRule="exact"/>
        <w:jc w:val="left"/>
        <w:textAlignment w:val="auto"/>
        <w:rPr>
          <w:rFonts w:hint="eastAsia" w:ascii="仿宋_GB2312" w:hAnsi="仿宋_GB2312" w:eastAsia="仿宋_GB2312" w:cs="仿宋_GB2312"/>
          <w:spacing w:val="0"/>
          <w:w w:val="100"/>
          <w:kern w:val="0"/>
          <w:sz w:val="28"/>
          <w:szCs w:val="28"/>
          <w:lang w:val="en-US" w:eastAsia="zh-CN"/>
        </w:rPr>
        <w:sectPr>
          <w:footerReference r:id="rId3" w:type="default"/>
          <w:footerReference r:id="rId4" w:type="even"/>
          <w:pgSz w:w="11906" w:h="16838"/>
          <w:pgMar w:top="1871" w:right="1474" w:bottom="1871" w:left="1587" w:header="851" w:footer="1304"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100" w:afterLines="100" w:line="460" w:lineRule="exact"/>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Lines="100" w:afterLines="100" w:line="46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i w:val="0"/>
          <w:color w:val="000000"/>
          <w:kern w:val="0"/>
          <w:sz w:val="44"/>
          <w:szCs w:val="44"/>
          <w:u w:val="none"/>
          <w:lang w:val="en-US" w:eastAsia="zh-CN" w:bidi="ar"/>
        </w:rPr>
        <w:t>焦作市工程建设招标代理机构负面行为清单</w:t>
      </w:r>
    </w:p>
    <w:tbl>
      <w:tblPr>
        <w:tblStyle w:val="8"/>
        <w:tblW w:w="145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5"/>
        <w:gridCol w:w="6383"/>
        <w:gridCol w:w="6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eastAsia" w:ascii="方正仿宋_GBK" w:hAnsi="方正仿宋_GBK" w:eastAsia="方正仿宋_GBK" w:cs="方正仿宋_GBK"/>
                <w:b/>
                <w:bCs/>
                <w:i w:val="0"/>
                <w:color w:val="000000"/>
                <w:kern w:val="0"/>
                <w:sz w:val="28"/>
                <w:szCs w:val="28"/>
                <w:u w:val="none"/>
                <w:lang w:val="en-US" w:eastAsia="zh-CN" w:bidi="ar"/>
              </w:rPr>
              <w:t>一、招标前期工作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招标代理机构代理招标代理业务未遵守招标投标法及其实施条例关于招标人的规定</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《中华人民共和国招标投标法》第十五条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按照国家有关规定需要履行项目审批、核准手续的依法必须进行招标的项目，其招标范围、招标方式、招标组织形式未报项目审批、核准部门审批、核准</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必须进行招标的项目而不招标的，将依法必须进行招标的项目化整为零、利用划分标段或者以其他任何方式规避招标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《中华人民共和国招标投标法》第四条、第四十九条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国有资金占控股或者主导地位的依法必须进行招标的项目未公开招标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依法应当公开招标而采用邀请招标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无权代理、越权代理，或者明知委托事项违法而进行代理</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未与招标人签订书面委托合同，合同约定的收费标准不符合国家有关规定</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《中华人民共和国招标投标法实施条例》第十四条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在所代理的招标项目中投标或者代理投标，或者为所代理的招标项目的投标人提供咨询</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《中华人民共和国招标投标法实施条例》第十三条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《工程建设项目施工招标投标办法》第二十二条第三款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未经招标人同意转让招标代理业务</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《工程建设项目施工招标投标办法》第二十二条第三款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不得随意改变法定招标程序</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第一条第（二）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招标代理机构及其从业人员应当依法依规、诚信自律经营，严禁采取行贿、提供回扣或者输送不正当利益等非法手段承揽业务</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第四条第（十六）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二、招标文件编制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就同一招标项目向潜在投标人或者投标人提供有差别的项目信息</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设定的资格、技术、商务条件与招标项目的具体特点和实际需要不相适应或者与合同履行无关；</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将特定行政区域、特定行业的业绩、奖项作为投标条件、加分条件、中标条件；将政府部门、行业协会商会或者其他机构对投标人作出的荣誉奖励和慈善公益证明等作为投标条件、中标条件。</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《工程项目招投标领域营商环境专项整治工作方案》第二条第（二）项第6点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对潜在投标人或者投标人采取不同的资格审查或者评标标准；</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限定或者指定特定的专利、商标、品牌、原产地、供应商或者检验检测认证机构（法律法规有明确要求的除外）。</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《中华人民共和国招标投标法实施条例》第三十二条第二款第（五）项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《工程项目招投标领域营商环境专项整治工作方案》第二条第（二）项第7点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依法必须进行招标的项目非法限定潜在投标人或者投标人的所有制形式或者组织形式；</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1</w:t>
            </w:r>
            <w:r>
              <w:rPr>
                <w:rFonts w:hint="eastAsia" w:ascii="仿宋_GB2312" w:hAnsi="Times New Roman" w:eastAsia="仿宋_GB2312" w:cs="仿宋_GB2312"/>
                <w:i w:val="0"/>
                <w:color w:val="000000"/>
                <w:kern w:val="0"/>
                <w:sz w:val="24"/>
                <w:szCs w:val="24"/>
                <w:u w:val="none"/>
                <w:lang w:val="en-US" w:eastAsia="zh-CN" w:bidi="ar"/>
              </w:rPr>
              <w:t>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以其他不合理条件限制、排斥潜在投标人或者投标人。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《中华人民共和国招标投标法实施条例》第三十二条第二款第（七）项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违法设置的限制、排斥不同所有制企业参与招投标的规定，以及虽然没有直接限制、排斥，但实质上起到变相限制、排斥效果的规定。</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《工程项目招投标领域营商环境专项整治工作方案》第二条第（二）项第1点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违法限定潜在投标人或者投标人的所有制形式或者组织形式，对不同所有制投标人采取不同的资格审查标准。</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设定企业股东背景、年平均承接项目数量或者金额、从业人员、纳税额、营业场所面积等规模条件；设置超过项目实际需要的企业注册资本、资产总额、净资产规模、营业收入、利润、授信额度等财务指标。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《工程项目招投标领域营商环境专项整治工作方案》第二条第（二）项第3点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设定明显超出招标项目具体特点和实际需要的过高的资质资格、技术、商务条件或者业绩、奖项要求。</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《工程项目招投标领域营商环境专项整治工作方案》第二条第（二）项第4点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将国家已经明令取消的资质资格作为投标条件、加分条件、中标条件；在国家已经明令取消资质资格的领域，将其他资质资格作为投标条件、加分条件、中标条件。</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《工程项目招投标领域营商环境专项整治工作方案》第二条第（二）项第5点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要求投标人在本地注册设立子公司、分公司、分支机构，在本地拥有一定办公面积，在本地缴纳社会保险等。</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《工程项目招投标领域营商环境专项整治工作方案》第二条第（二）项第8点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没有法律法规依据设定投标报名、招标文件审查等事前审批或者审核环节。</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《工程项目招投标领域营商环境专项整治工作方案》第二条第（二）项第9点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对仅需提供有关资质证明文件、证照、证件复印件的，要求必须提供原件；对按规定可以采用“多证合一”电子证照的，要求必须提供纸质证照。</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在开标环节要求投标人的法定代表人必须到场，不接受经授权委托的投标人代表到场。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《工程项目招投标领域营商环境专项整治工作方案》第二条第（二）项第11点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限定投标保证金、履约保证金只能以现金形式提交，或者不按规定或者合同约定返还保证金</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《工程项目招投标领域营商环境专项整治工作方案》第二条第（二）项第15点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29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其他对不同所有制企业设置的不合理限制和壁垒</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《工程项目招投标领域营商环境专项整治工作方案》第二条第（二）项第18点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30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不得以营利为目的收取高额的招标文件等资料费用</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第四条第（十六）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强制要求投标人组成联合体共同投标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《中华人民共和国招标投标法》第六条、第十八条第二款、第二十条、第五十一条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《中华人民共和国招标投标法实施条例》第二十四条、第三十二条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招标文件规定的各项技术规格不符合国家技术法规的规定</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《工程建设项目货物招标投标办法》第二十五条第一款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招标项目需要划分标段、确定工期的，未合理划分标段、确定工期，并在招标文件中载明</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《中华人民共和国招标投标法》第十九条第三款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招标文件未明确规定所有评标因素，以及如何将这些因素量化或者据以进行评估</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招标文件中要求投标人提交投标保证金超过招标项目估算价的2%,或要求房屋建筑和市政基础设施工程施工项目投标保证金超过50万元，公路工程、水利工程施工项目投标保证金超过80万元，勘察设计项目投标保证金超过10万元，货物项目投标保证金超过80万元</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《中华人民共和国招标投标法实施条例》第二十六条第一款、第六十六条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《工程建设项目施工招标投标办法》第三十七条第二款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《工程建设项目货物招标投标办法》第二十七条第二款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《工程建设项目勘察设计招标投标办法》第二十四条第一款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《房屋建筑和市政基础设施工程施工招标投标管理办法》第二十六条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规定最低投标限价</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《中华人民共和国招标投标法实施条例》第二十七条第三款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《工程建设项目施工招标投标办法》第三十四条第六款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设有最高投标限价的，未在招标文件中明确最高投标限价或者最高投标限价的计算方法</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《中华人民共和国招标投标法实施条例》第二十七条第三款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《工程建设项目施工招标投标办法》第三十四条第六款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招标文件要求中标人提交履约保证金超过中标合同金额的10%</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《中华人民共和国招标投标法实施条例》第五十八条、第六十六条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《工程建设项目施工招标投标办法》第六十二条第三款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《工程建设项目货物招标投标办法》第五十一条第三款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39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对已经在投标截止时间前书面通知招标人撤回已提交的投标文件的投标人，已收取投标保证金的，未在收到投标人书面撤回通知之日起5日内退还</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三、开标、评标和中标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（一）开标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通过资格预审的申请人少于3个的，未重新招标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《中华人民共和国招标投标法实施条例》第十九条第二款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开标未在招标文件确定的提交投标文件截止时间的同一时间公开进行；未在招标文件中预先确定的地点开标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《中华人民共和国招标投标法》第三十四条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《中华人民共和国招标投标法实施条例》第四十四条第一款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《工程建设项目勘察设计招标投标办法》第三十一条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《工程建设项目施工招标投标办法》第四十九条第一款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《工程建设项目货物招标投标办法》第四十条第一款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在开标前开启投标文件</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《中华人民共和国招标投标法实施条例》第四十一条第二款第一项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《工程建设项目施工招标投标办法》第三十八条第一款、第四十七条第一项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《工程建设项目货物招标投标办法》第三十四条第一款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非不可抗力原因，拖延开标或者拒绝开标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《工程建设项目勘察设计招标投标办法》第三十一条第一款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在招标文件要求提交投标文件的截止时间前收到的所有投标文件，开标时未当众予以拆封、宣读</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未对开标过程记录及存档备查</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《中华人民共和国招标投标法》第三十六条第三款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《中华人民共和国招标投标法实施条例》第三十六条第二款、第四十四条第三款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收到投标文件后，未向投标人出具标明签收人和签收时间的凭证</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《工程建设项目货物招标投标办法》第三十四条第一款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《工程建设项目勘察设计招标投标办法》第二十六条第二款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接受应当拒收的投标文件</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《中华人民共和国招标投标法》第二十八条第二款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《中华人民共和国招标投标法实施条例》第三十六条第一款、第六十四条第一款第四项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《工程建设项目施工招标投标办法》第三十八条第二款、第五十条第一款、第七十三条第二款第四项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《工程建设项目货物招标投标办法》第三十四条第二款、第四十一条第一款、第五十六条第四项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接受未通过资格预审的单位或者个人参加投标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《中华人民共和国招标投标法实施条例》第六十四条第一款第三项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《工程建设项目勘察设计招标投标办法》第五十一条第一款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《工程建设项目施工招标投标办法》第十九条第一款、第七十三条第二款第三项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《工程建设项目货物招标投标办法》第五十六条第三项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49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招标项目设有标底的，未在开标时公布</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投标人少于3个继续开标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《中华人民共和国招标投标法》第二十八条第一款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授意投标人撤换、修改投标文件</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《中华人民共和国招标投标法实施条例》第四十一条第二款第四项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《工程建设项目施工招标投标办法》第四十七条第一项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（二）评标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评标和定标未在投标有效期内完成</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《工程建设项目勘察设计招标投标办法》第四十六条第一款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未根据项目规模和技术复杂程度等因素合理确定评标时间</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超过三分之一的评标委员会成员认为评标时间不够的，未适当延长</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未采取必要措施，保证评标活动在严格保密的情况下进行</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《中华人民共和国招标投标法》第三十八条第一款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评标委员会成员名单在中标结果确定前未进行保密</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《中华人民共和国招标投标法》第三十七条第五款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全部或者部分使用国有资金、国家融资、国际组织或者外国政府资金的项目，其评标委员会的专家成员未从省综合评标评审专家库中随机抽取，或者确定、更换评标委员会成员违反招标投标法和招标投标法实施条例规定的</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《中华人民共和国招标投标法实施条例》第七十条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依法必须进行招标的项目，其评标委员会中技术、经济等方面的专家少于成员总数的三分之二</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《中华人民共和国招标投标法》第三十七条第二款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59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依法必须进行招标的项目，非因招标投标法和招标投标法实施条例规定的事由，更换依法确定的评标委员会成员</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与投标人有利害关系的人进入相关项目的评标委员会或已经进入的未予以更换</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《中华人民共和国招标投标法》第三十七条第四款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《中华人民共和国招标投标法实施条例》第四十八条第三款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未向评标委员会提供评标所必需的信息</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未向评标委员会提供评标所需的重要信息和数据，或者提供相关资料时带有明示或者暗示倾向或者排斥特定投标人的信息</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《评标委员会和评标方法暂行规定》第十六条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明示或暗示评标专家对不同所有制投标人采取不同的评标标准、实施不客观公正评价。</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《工程项目招投标领域营商环境专项整治工作方案》第二条第（二）项第13点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非法干预或者影响评标过程和结果</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《评标委员会和评标方法暂行规定》第四条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w:t>
            </w:r>
            <w:r>
              <w:rPr>
                <w:rFonts w:hint="eastAsia" w:ascii="仿宋_GB2312" w:hAnsi="Times New Roman" w:eastAsia="仿宋_GB2312" w:cs="仿宋_GB2312"/>
                <w:b/>
                <w:bCs/>
                <w:i w:val="0"/>
                <w:color w:val="000000"/>
                <w:kern w:val="0"/>
                <w:sz w:val="24"/>
                <w:szCs w:val="24"/>
                <w:u w:val="none"/>
                <w:lang w:val="en-US" w:eastAsia="zh-CN" w:bidi="ar"/>
              </w:rPr>
              <w:t>三</w:t>
            </w:r>
            <w:r>
              <w:rPr>
                <w:rFonts w:hint="default" w:ascii="仿宋_GB2312" w:hAnsi="Times New Roman" w:eastAsia="仿宋_GB2312" w:cs="仿宋_GB2312"/>
                <w:b/>
                <w:bCs/>
                <w:i w:val="0"/>
                <w:color w:val="000000"/>
                <w:kern w:val="0"/>
                <w:sz w:val="24"/>
                <w:szCs w:val="24"/>
                <w:u w:val="none"/>
                <w:lang w:val="en-US" w:eastAsia="zh-CN" w:bidi="ar"/>
              </w:rPr>
              <w:t>）中标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在确定中标人前，与投标人就投标价格、投标方案等实质性内容进行谈判</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《中华人民共和国招标投标法》第四十三条、第五十五条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《评标委员会和评标方法暂行规定》第四十七条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《工程建设项目施工招标投标办法》第七十六条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依法必须进行招标的项目不按照规定确定中标人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《中华人民共和国招标投标法实施条例》第七十三条第二项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《评标委员会和评标方法暂行规定》第五十五条第二项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《工程建设项目货物招标投标办法》第五十八条第一款第二项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《工程建设项目施工招标投标办法》第八十条第二项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在评标委员会依法推荐的中标候选人以外确定中标人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《中华人民共和国招标投标法》第五十七条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《工程建设项目施工招标投标办法》第五十七条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《工程建设项目货物招标投标办法》第四十七条第一款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无正当理由不发出中标通知书</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《中华人民共和国招标投标法实施条例》第七十三条第一项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《评标委员会和评标方法暂行规定》第五十五条第一项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《工程建设项目施工招标投标办法》第八十条第一项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《工程建设项目货物招标投标办法》第五十八条第一款第一项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69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中标人确定后，未向中标人发出中标通知书，未同时将中标结果通知所有未中标的投标人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中标候选人的经营、财务状况发生较大变化或者存在违法行为，招标人认为可能影响其履约能力的，未在发出中标通知书前由原评标委员会按照招标文件规定的标准和方法审查确认</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依法必须进行招标的项目中标通知书发出后无正当理由改变中标结果</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《中华人民共和国招标投标法实施条例》第七十三条第三项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《评标委员会和评标方法暂行规定》第五十五条第三项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《工程建设项目施工招标投标办法》第八十条第三项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《工程建设项目货物招标投标办法》第五十八条第一款第三项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依法必须进行招标的项目，未能自确定中标人之日起十五日内，向有关行政监督部门提交招标投标情况的书面报告</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《中华人民共和国招标投标法》第四十七条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《工程建设项目施工招标投标办法》第六十五条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《工程建设项目货物招标投标办法》第五十四条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《工程建设项目勘察设计招标投标办法》第四十七条第一款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不得采用抽签、摇号、抓阄等违规方式直接选择投标人、中标候选人或中标人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第一条第（二）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四、信息发布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采用公开招标方式的，未发布招标公告；依法必须进行招标的项目的招标公告，未通过国家指定的报刊、信息网络或者其他媒介发布</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《中华人民共和国招标投标法》第十六条第一款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《中华人民共和国招标投标法实施条例》第十五条第一款、第六十三条第一款第一项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依法应当公开招标的项目不按照规定在指定媒介发布资格预审公告或者招标公告</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《中华人民共和国招标投标法》第五十一条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依法必须进行招标的项目不按照规定发布资格预审公告或者招标公告，构成规避招标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《中华人民共和国招标投标法》第四十九条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招标公告未载明招标人的名称和地址、招标项目的性质、数量、实施地点和时间以及获取招标文件的办法等事项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未在资格预审公告、招标公告或者投标邀请书中载明是否接受联合体投标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79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在不同媒介发布的同一招标项目的资格预审公告或者招标公告内容不一致，影响潜在投标人申请资格预审或者投标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《中华人民共和国招标投标法实施条例》第十五条第三款、第六十三条第一款第二项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采取资格预审的，未发布资格预审公告</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《中华人民共和国招标投标法实施条例》第十五条第二款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采取资格预审的，未在资格预审文件中载明资格预审的条件、标准和方法</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《工程建设项目施工招标投标办法》第十八条第二款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《工程建设项目货物招标投标办法》第十九条第一款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采取资格后审的，未在招标文件中载明对投标人资格要求的条件、标准和方法</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《工程建设项目施工招标投标办法》第十八条第二款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《工程建设项目货物招标投标办法》第十九条第一款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未确定投标人编制投标文件所需要的合理时间；依法必须进行招标的项目，自招标文件开始发出之日起至投标人提交投标文件截止之日止，少于二十日</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《中华人民共和国招标投标法》第二十四条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《工程建设项目勘察设计招标投标办法》第十九条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《工程建设项目货物招标投标办法》第三十条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对已发出的招标文件进行必要的澄清或者修改的，未在招标文件要求提交投标文件截止时间至少十五日前，以书面形式通知所有招标文件收受人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《中华人民共和国招标投标法》第二十三条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招标文件、资格预审文件的发售、澄清、修改的时限，或者确定的提交资格预审申请文件、投标文件的时限不符合招标投标法和招标投标法实施条例的规定</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《中华人民共和国招标投标法实施条例》第六十四条第二项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《工程建设项目货物招标投标办法》第五十六条第二项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《工程建设项目勘察设计招标投标办法》第五十一条第一款第二项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《工程建设项目施工招标投标办法》第七十三条第二款第二项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五、合同管理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与中标人不按照招标文件和中标人的投标文件订立合同</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《中华人民共和国招标投标法》第五十九条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《中华人民共和国招标投标法实施条例》第五十七条第一款、第七十五条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《工程建设项目勘察设计招标投标办法》第五十五条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《工程建设项目施工招标投标办法》第八十三条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《评标委员会和评标方法暂行规定》第五十一条、第五十六条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和中标人再行订立背离合同实质性内容的其他协议</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《中华人民共和国招标投标法》第四十六条第一款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《中华人民共和国招标投标法实施条例》第五十七条第一款、第七十五条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《评标委员会和评标方法暂行规定》第五十一条、第五十六条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《工程建设项目货物招标投标办法》第五十一条第一款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《工程建设项目勘察设计招标投标办法》第四十三条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《工程建设项目施工招标投标办法》第六十二条第一款、第八十三条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依法必须进行招标的项目在订立合同时向中标人提出附加条件</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《中华人民共和国招标投标法实施条例》第七十三条第五项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《工程建设项目施工招标投标办法》第五十九条、第八十条第五项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《评标委员会和评标方法暂行规定》第五十五条第五项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《工程建设项目货物招标投标办法》第四十九条、第五十八条第一款第五项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89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未在在书面合同签订后5日内向中标人和未中标的投标人退还投标保证金及银行同期存款利息</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《中华人民共和国招标投标法实施条例》第五十七条第二款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《评标委员会和评标方法暂行规定》第五十二条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《工程建设项目施工招标投标办法》第六十三条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《工程建设项目勘察设计招标投标办法》第四十四条第一款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必须审批的工程建设项目，货物合同价格未控制在批准的概算投资范围内；确需超出范围的，未在中标合同签订前，报原项目审批部门审查同意</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《工程建设项目货物招标投标办法》第五十三条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合同中确定的建设规模、建设标准、建设内容、合同价格未控制在批准的初步设计及概算文件范围内；确需超出规定范围的，未在中标合同签订前，报原项目审批部门审查同意</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六、异议与投诉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对资格预审文件或招标文件提出的异议，未在收到异议之日起3日内作出答复；作出答复前，应当暂停招标投标活动的未暂停招标投标活动</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对于投标人对开标提出的异议，未当场作出答复，或未制作记录</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《中华人民共和国招标投标法实施条例》第四十四条第三款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《工程建设项目货物招标投标办法》第四十条第三款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《工程建设项目勘察设计招标投标办法》第三十一条第二款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《工程建设项目施工招标投标办法》第四十九条第二款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对评标结果的异议，未在收到异议之日起3日内作出答复；或者作出答复前，未暂停招标投标活动</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《中华人民共和国招标投标法实施条例》第五十四条第二款、第七十七条第二款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在处理投诉事项期间，未按照行政监督部门要求暂停招标投标活动</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七、其他负面行为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序号</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负面行为内容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b/>
                <w:bCs/>
                <w:i w:val="0"/>
                <w:color w:val="000000"/>
                <w:kern w:val="0"/>
                <w:sz w:val="24"/>
                <w:szCs w:val="24"/>
                <w:u w:val="none"/>
                <w:lang w:val="en-US" w:eastAsia="zh-CN" w:bidi="ar"/>
              </w:rPr>
            </w:pPr>
            <w:r>
              <w:rPr>
                <w:rFonts w:hint="default" w:ascii="仿宋_GB2312" w:hAnsi="Times New Roman" w:eastAsia="仿宋_GB2312" w:cs="仿宋_GB2312"/>
                <w:b/>
                <w:bCs/>
                <w:i w:val="0"/>
                <w:color w:val="000000"/>
                <w:kern w:val="0"/>
                <w:sz w:val="24"/>
                <w:szCs w:val="24"/>
                <w:u w:val="none"/>
                <w:lang w:val="en-US" w:eastAsia="zh-CN" w:bidi="ar"/>
              </w:rPr>
              <w:t>法律、法规、文件依据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组织单个或者部分潜在投标人踏勘项目现场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《中华人民共和国招标投标法实施条例》第二十八条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《工程建设项目施工招标投标办法》第三十二条第二款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向投标人收取招标文件所附设计文件押金的施工项目，开标后投标人退还设计文件的，未向投标人退还押金</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《工程建设项目施工招标投标办法》第十五条第三款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同意延长投标有效期后，要求或允许投标人修改其投标文件的实质性内容</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《工程建设项目施工招标投标办法》第二十九条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《工程建设项目勘察设计招标投标办法》第四十六条第二款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《工程建设项目货物招标投标办法》第二十八条第二款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99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依法必须进行招标的项目的所有投标被否决的，未依照招标投标法重新招标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《中华人民共和国招标投标法》第四十二条第二款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非因不可抗力原因，在发布招标公告、发出投标邀请书后或者售出招标文件或资格预审文件后终止招标</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《工程建设项目施工招标投标办法》第十五条第四款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《工程建设项目勘察设计招标投标办法》第二十条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终止招标的，未及时发布公告，或者以书面形式通知被邀请的或者已经获取资格预审文件、招标文件的潜在投标人。已经发售资格预审文件、招标文件或者已经收取投标保证金的，未及时退还所收取的资格预审文件、招标文件的费用，以及所收取的投标保证金及银行同期存款利息</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《中华人民共和国招标投标法实施条例》第三十一条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《工程建设项目施工招标投标办法》第七十二条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《工程建设项目货物招标投标办法》第十四条第四款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挪用投标保证金</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《中华人民共和国招标投标法实施条例》第二十六条第三款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103</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直接指定分包人</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104</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与招标人、投标人串通</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《中华人民共和国招标投标法》第三十二条第二款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《中华人民共和国招标投标法实施条例》第四十一条、第六十七条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《工程建设项目施工招标投标办法》第六十九条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105</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明示或者暗示投标人为特定投标人中标提供方便</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《中华人民共和国招标投标法实施条例》第四十一条第二款第五项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1</w:t>
            </w:r>
            <w:r>
              <w:rPr>
                <w:rFonts w:hint="eastAsia" w:ascii="仿宋_GB2312" w:hAnsi="Times New Roman" w:eastAsia="仿宋_GB2312" w:cs="仿宋_GB2312"/>
                <w:i w:val="0"/>
                <w:color w:val="000000"/>
                <w:kern w:val="0"/>
                <w:sz w:val="24"/>
                <w:szCs w:val="24"/>
                <w:u w:val="none"/>
                <w:lang w:val="en-US" w:eastAsia="zh-CN" w:bidi="ar"/>
              </w:rPr>
              <w:t>06</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明示或者暗示投标人压低或者抬高投标报价</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《中华人民共和国招标投标法实施条例》第四十一条第二款第三项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《工程建设项目施工招标投标办法》第四十七条第三项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1</w:t>
            </w:r>
            <w:r>
              <w:rPr>
                <w:rFonts w:hint="eastAsia" w:ascii="仿宋_GB2312" w:hAnsi="Times New Roman" w:eastAsia="仿宋_GB2312" w:cs="仿宋_GB2312"/>
                <w:i w:val="0"/>
                <w:color w:val="000000"/>
                <w:kern w:val="0"/>
                <w:sz w:val="24"/>
                <w:szCs w:val="24"/>
                <w:u w:val="none"/>
                <w:lang w:val="en-US" w:eastAsia="zh-CN" w:bidi="ar"/>
              </w:rPr>
              <w:t>07</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依法必须进行招标的项目的招标代理机构向他人透露已获取招标文件的潜在投标人的名称、数量或者可能影响公平竞争的有关招标投标的其他情况的，或者泄露标底（资格预审结果公示除外）</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《中华人民共和国招标投标法》第二十二条第一款、第五十二条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《中华人民共和国招标投标法实施条例》第四十一条第二款第二项</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《工程建设项目施工招标投标办法》第四十七条第二项、第七十一条</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1</w:t>
            </w:r>
            <w:r>
              <w:rPr>
                <w:rFonts w:hint="eastAsia" w:ascii="仿宋_GB2312" w:hAnsi="Times New Roman" w:eastAsia="仿宋_GB2312" w:cs="仿宋_GB2312"/>
                <w:i w:val="0"/>
                <w:color w:val="000000"/>
                <w:kern w:val="0"/>
                <w:sz w:val="24"/>
                <w:szCs w:val="24"/>
                <w:u w:val="none"/>
                <w:lang w:val="en-US" w:eastAsia="zh-CN" w:bidi="ar"/>
              </w:rPr>
              <w:t>08</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对行政监督部门处理投诉中查阅、复制有关文件、资料等调查有关情况的行为不予以配合</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《中华人民共和国招标投标法》第七条第一款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《中华人民共和国招标投标法实施条例》第六十二条第一款</w:t>
            </w:r>
            <w:r>
              <w:rPr>
                <w:rFonts w:hint="default" w:ascii="仿宋_GB2312" w:hAnsi="Times New Roman" w:eastAsia="仿宋_GB2312" w:cs="仿宋_GB2312"/>
                <w:i w:val="0"/>
                <w:color w:val="000000"/>
                <w:kern w:val="0"/>
                <w:sz w:val="24"/>
                <w:szCs w:val="24"/>
                <w:u w:val="none"/>
                <w:lang w:val="en-US" w:eastAsia="zh-CN" w:bidi="ar"/>
              </w:rPr>
              <w:br w:type="textWrapping"/>
            </w:r>
            <w:r>
              <w:rPr>
                <w:rFonts w:hint="default" w:ascii="仿宋_GB2312" w:hAnsi="Times New Roman" w:eastAsia="仿宋_GB2312" w:cs="仿宋_GB2312"/>
                <w:i w:val="0"/>
                <w:color w:val="000000"/>
                <w:kern w:val="0"/>
                <w:sz w:val="24"/>
                <w:szCs w:val="24"/>
                <w:u w:val="none"/>
                <w:lang w:val="en-US" w:eastAsia="zh-CN" w:bidi="ar"/>
              </w:rPr>
              <w:t>《评标委员会和评标方法暂行规定》第六条第一款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109</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对于招标人、投标人、评标专家等提出的违法要求应当坚决抵制、及时劝阻，不得背离职业道德无原则附和</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第四条第（十六）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110</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不得泄露应当保密的与招标投标活动有关的情况和资料</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第四条第（十六）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111</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招标代理活动结束后，及时向招标人提交全套招标档案资料，不得篡改、损毁、伪造或擅自销毁</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第四条第（十六）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112</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不得与招标人、投标人、评标专家、交易平台运行服务机构等串通损害国家利益、社会公共利益和招标投标活动当事人合法权益</w:t>
            </w:r>
          </w:p>
        </w:tc>
        <w:tc>
          <w:tcPr>
            <w:tcW w:w="6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Times New Roman" w:eastAsia="仿宋_GB2312" w:cs="仿宋_GB2312"/>
                <w:i w:val="0"/>
                <w:color w:val="000000"/>
                <w:kern w:val="0"/>
                <w:sz w:val="24"/>
                <w:szCs w:val="24"/>
                <w:u w:val="none"/>
                <w:lang w:val="en-US" w:eastAsia="zh-CN" w:bidi="ar"/>
              </w:rPr>
            </w:pPr>
            <w:r>
              <w:rPr>
                <w:rFonts w:hint="default" w:ascii="仿宋_GB2312" w:hAnsi="Times New Roman" w:eastAsia="仿宋_GB2312" w:cs="仿宋_GB2312"/>
                <w:i w:val="0"/>
                <w:color w:val="000000"/>
                <w:kern w:val="0"/>
                <w:sz w:val="24"/>
                <w:szCs w:val="24"/>
                <w:u w:val="none"/>
                <w:lang w:val="en-US" w:eastAsia="zh-CN" w:bidi="ar"/>
              </w:rPr>
              <w:t>《关于严格执行招标投标法规制度进一步规范招标投标主体行为的若干意见》</w:t>
            </w:r>
            <w:r>
              <w:rPr>
                <w:rFonts w:hint="eastAsia" w:ascii="仿宋_GB2312" w:hAnsi="Times New Roman" w:eastAsia="仿宋_GB2312" w:cs="仿宋_GB2312"/>
                <w:i w:val="0"/>
                <w:color w:val="000000"/>
                <w:kern w:val="0"/>
                <w:sz w:val="24"/>
                <w:szCs w:val="24"/>
                <w:u w:val="none"/>
                <w:lang w:val="en-US" w:eastAsia="zh-CN" w:bidi="ar"/>
              </w:rPr>
              <w:t>第四条第（十六）</w:t>
            </w:r>
          </w:p>
        </w:tc>
      </w:tr>
    </w:tbl>
    <w:p/>
    <w:p>
      <w:pPr>
        <w:spacing w:line="596" w:lineRule="exact"/>
        <w:ind w:firstLine="800" w:firstLineChars="200"/>
        <w:rPr>
          <w:rFonts w:hint="eastAsia" w:ascii="方正小标宋简体" w:hAnsi="方正小标宋简体" w:eastAsia="方正小标宋简体" w:cs="方正小标宋简体"/>
          <w:color w:val="000000"/>
          <w:kern w:val="0"/>
          <w:sz w:val="40"/>
          <w:szCs w:val="40"/>
          <w:lang w:eastAsia="zh-CN"/>
        </w:rPr>
      </w:pPr>
    </w:p>
    <w:sectPr>
      <w:footerReference r:id="rId5" w:type="default"/>
      <w:footerReference r:id="rId6" w:type="even"/>
      <w:pgSz w:w="16838" w:h="11906" w:orient="landscape"/>
      <w:pgMar w:top="1134" w:right="1134" w:bottom="1134" w:left="1134" w:header="851" w:footer="10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350567"/>
                            <w:docPartObj>
                              <w:docPartGallery w:val="autotext"/>
                            </w:docPartObj>
                          </w:sdtPr>
                          <w:sdtContent>
                            <w:p>
                              <w:pPr>
                                <w:pStyle w:val="4"/>
                                <w:jc w:val="cente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1</w:t>
                              </w:r>
                              <w:r>
                                <w:rPr>
                                  <w:rFonts w:hint="eastAsia" w:asciiTheme="majorEastAsia" w:hAnsiTheme="majorEastAsia" w:eastAsiaTheme="majorEastAsia" w:cstheme="majorEastAsia"/>
                                  <w:sz w:val="24"/>
                                  <w:szCs w:val="24"/>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6350567"/>
                      <w:docPartObj>
                        <w:docPartGallery w:val="autotext"/>
                      </w:docPartObj>
                    </w:sdtPr>
                    <w:sdtContent>
                      <w:p>
                        <w:pPr>
                          <w:pStyle w:val="4"/>
                          <w:jc w:val="cente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1</w:t>
                        </w:r>
                        <w:r>
                          <w:rPr>
                            <w:rFonts w:hint="eastAsia" w:asciiTheme="majorEastAsia" w:hAnsiTheme="majorEastAsia" w:eastAsiaTheme="majorEastAsia" w:cstheme="majorEastAsia"/>
                            <w:sz w:val="24"/>
                            <w:szCs w:val="24"/>
                          </w:rPr>
                          <w:fldChar w:fldCharType="end"/>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560" w:firstLineChars="200"/>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5009674"/>
                          </w:sdtPr>
                          <w:sdtEndPr>
                            <w:rPr>
                              <w:rFonts w:ascii="Times New Roman" w:hAnsi="Times New Roman" w:cs="Times New Roman"/>
                              <w:sz w:val="28"/>
                              <w:szCs w:val="28"/>
                            </w:rPr>
                          </w:sdtEndPr>
                          <w:sdtContent>
                            <w:p>
                              <w:pPr>
                                <w:pStyle w:val="4"/>
                                <w:ind w:right="360" w:firstLine="360" w:firstLineChars="2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575009674"/>
                    </w:sdtPr>
                    <w:sdtEndPr>
                      <w:rPr>
                        <w:rFonts w:ascii="Times New Roman" w:hAnsi="Times New Roman" w:cs="Times New Roman"/>
                        <w:sz w:val="28"/>
                        <w:szCs w:val="28"/>
                      </w:rPr>
                    </w:sdtEndPr>
                    <w:sdtContent>
                      <w:p>
                        <w:pPr>
                          <w:pStyle w:val="4"/>
                          <w:ind w:right="360" w:firstLine="360" w:firstLineChars="2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pPr>
                      <w:rPr>
                        <w:rFonts w:ascii="Times New Roman" w:hAnsi="Times New Roman" w:cs="Times New Roman"/>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40" w:firstLineChars="1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PAGE   \* MERGEFORMAT</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ZWUyNDdiYTdlYzRlY2FjZGVmODNhNGI0MDBjNWUifQ=="/>
  </w:docVars>
  <w:rsids>
    <w:rsidRoot w:val="699319B6"/>
    <w:rsid w:val="00012144"/>
    <w:rsid w:val="0003166F"/>
    <w:rsid w:val="00032C9A"/>
    <w:rsid w:val="00034580"/>
    <w:rsid w:val="000351B6"/>
    <w:rsid w:val="00037285"/>
    <w:rsid w:val="00042940"/>
    <w:rsid w:val="000432DC"/>
    <w:rsid w:val="00061E89"/>
    <w:rsid w:val="000831CB"/>
    <w:rsid w:val="00086D35"/>
    <w:rsid w:val="000A44B2"/>
    <w:rsid w:val="000A6A2B"/>
    <w:rsid w:val="000B5E5D"/>
    <w:rsid w:val="000B7230"/>
    <w:rsid w:val="000B7963"/>
    <w:rsid w:val="00112DFE"/>
    <w:rsid w:val="00133480"/>
    <w:rsid w:val="00156241"/>
    <w:rsid w:val="00165A48"/>
    <w:rsid w:val="001668B5"/>
    <w:rsid w:val="00186F3A"/>
    <w:rsid w:val="00190D97"/>
    <w:rsid w:val="00191FDB"/>
    <w:rsid w:val="001A5BE3"/>
    <w:rsid w:val="001C6ED1"/>
    <w:rsid w:val="001D1B1E"/>
    <w:rsid w:val="001E3913"/>
    <w:rsid w:val="0020025B"/>
    <w:rsid w:val="002068BC"/>
    <w:rsid w:val="00207A8A"/>
    <w:rsid w:val="002319DC"/>
    <w:rsid w:val="00242B61"/>
    <w:rsid w:val="002525EF"/>
    <w:rsid w:val="00253A33"/>
    <w:rsid w:val="00271466"/>
    <w:rsid w:val="00273499"/>
    <w:rsid w:val="0028269D"/>
    <w:rsid w:val="00294D78"/>
    <w:rsid w:val="002B0247"/>
    <w:rsid w:val="002B2E64"/>
    <w:rsid w:val="002C79CB"/>
    <w:rsid w:val="002D01AA"/>
    <w:rsid w:val="002E7F06"/>
    <w:rsid w:val="002F1518"/>
    <w:rsid w:val="00301E6E"/>
    <w:rsid w:val="00313934"/>
    <w:rsid w:val="0033491A"/>
    <w:rsid w:val="00342BF8"/>
    <w:rsid w:val="00343905"/>
    <w:rsid w:val="0034547E"/>
    <w:rsid w:val="003607AE"/>
    <w:rsid w:val="00361235"/>
    <w:rsid w:val="003622D8"/>
    <w:rsid w:val="003669B9"/>
    <w:rsid w:val="00377173"/>
    <w:rsid w:val="00385E35"/>
    <w:rsid w:val="003971DC"/>
    <w:rsid w:val="003B7178"/>
    <w:rsid w:val="003B7DC6"/>
    <w:rsid w:val="003C57BF"/>
    <w:rsid w:val="003D1E02"/>
    <w:rsid w:val="003D49B1"/>
    <w:rsid w:val="003D640D"/>
    <w:rsid w:val="003E55CF"/>
    <w:rsid w:val="003E5F65"/>
    <w:rsid w:val="0041681D"/>
    <w:rsid w:val="00422B46"/>
    <w:rsid w:val="004237AD"/>
    <w:rsid w:val="004241A5"/>
    <w:rsid w:val="00424753"/>
    <w:rsid w:val="00437E5B"/>
    <w:rsid w:val="0044566F"/>
    <w:rsid w:val="004559DC"/>
    <w:rsid w:val="004751F1"/>
    <w:rsid w:val="00483EA0"/>
    <w:rsid w:val="00493750"/>
    <w:rsid w:val="004A0262"/>
    <w:rsid w:val="004A7760"/>
    <w:rsid w:val="004B0028"/>
    <w:rsid w:val="004D56EE"/>
    <w:rsid w:val="004E3A70"/>
    <w:rsid w:val="004F63B1"/>
    <w:rsid w:val="004F6C2B"/>
    <w:rsid w:val="00534C53"/>
    <w:rsid w:val="00543594"/>
    <w:rsid w:val="005447F5"/>
    <w:rsid w:val="00547555"/>
    <w:rsid w:val="005546EE"/>
    <w:rsid w:val="005557FE"/>
    <w:rsid w:val="00560F90"/>
    <w:rsid w:val="00564FEB"/>
    <w:rsid w:val="00595102"/>
    <w:rsid w:val="005C454A"/>
    <w:rsid w:val="005C5FE4"/>
    <w:rsid w:val="005E6E59"/>
    <w:rsid w:val="006045CD"/>
    <w:rsid w:val="00613213"/>
    <w:rsid w:val="00616651"/>
    <w:rsid w:val="00623822"/>
    <w:rsid w:val="006270C3"/>
    <w:rsid w:val="0063537D"/>
    <w:rsid w:val="00654C70"/>
    <w:rsid w:val="00656B17"/>
    <w:rsid w:val="00664956"/>
    <w:rsid w:val="0066705F"/>
    <w:rsid w:val="0067549D"/>
    <w:rsid w:val="006859AD"/>
    <w:rsid w:val="006B2C18"/>
    <w:rsid w:val="006E62E7"/>
    <w:rsid w:val="0070467E"/>
    <w:rsid w:val="007259F5"/>
    <w:rsid w:val="00731D51"/>
    <w:rsid w:val="00751E29"/>
    <w:rsid w:val="00771704"/>
    <w:rsid w:val="00781AC2"/>
    <w:rsid w:val="00787E48"/>
    <w:rsid w:val="007C7286"/>
    <w:rsid w:val="007F0689"/>
    <w:rsid w:val="007F62BB"/>
    <w:rsid w:val="00810412"/>
    <w:rsid w:val="00812F01"/>
    <w:rsid w:val="00820302"/>
    <w:rsid w:val="00827680"/>
    <w:rsid w:val="00850DDC"/>
    <w:rsid w:val="0085462C"/>
    <w:rsid w:val="008578CE"/>
    <w:rsid w:val="00893656"/>
    <w:rsid w:val="008956A5"/>
    <w:rsid w:val="008A3376"/>
    <w:rsid w:val="008A39C3"/>
    <w:rsid w:val="008B422E"/>
    <w:rsid w:val="008E6846"/>
    <w:rsid w:val="008F6A57"/>
    <w:rsid w:val="008F7356"/>
    <w:rsid w:val="00932EB0"/>
    <w:rsid w:val="009530EA"/>
    <w:rsid w:val="00955A4E"/>
    <w:rsid w:val="00965B12"/>
    <w:rsid w:val="009861CA"/>
    <w:rsid w:val="00994478"/>
    <w:rsid w:val="00997FCF"/>
    <w:rsid w:val="009B20CE"/>
    <w:rsid w:val="009E3C54"/>
    <w:rsid w:val="009E781B"/>
    <w:rsid w:val="00A02B65"/>
    <w:rsid w:val="00A05695"/>
    <w:rsid w:val="00A15EF4"/>
    <w:rsid w:val="00A16245"/>
    <w:rsid w:val="00A165BE"/>
    <w:rsid w:val="00A233DB"/>
    <w:rsid w:val="00A2446E"/>
    <w:rsid w:val="00A4387B"/>
    <w:rsid w:val="00A50E6A"/>
    <w:rsid w:val="00A51199"/>
    <w:rsid w:val="00A5327B"/>
    <w:rsid w:val="00A56FBD"/>
    <w:rsid w:val="00A70C9F"/>
    <w:rsid w:val="00A72268"/>
    <w:rsid w:val="00A87796"/>
    <w:rsid w:val="00AB540D"/>
    <w:rsid w:val="00AE6F8C"/>
    <w:rsid w:val="00B01998"/>
    <w:rsid w:val="00B1088F"/>
    <w:rsid w:val="00B20CA3"/>
    <w:rsid w:val="00B21514"/>
    <w:rsid w:val="00B22811"/>
    <w:rsid w:val="00B34969"/>
    <w:rsid w:val="00B530D6"/>
    <w:rsid w:val="00B71BF8"/>
    <w:rsid w:val="00B92163"/>
    <w:rsid w:val="00BC6763"/>
    <w:rsid w:val="00BD3C08"/>
    <w:rsid w:val="00BD3C95"/>
    <w:rsid w:val="00BD6326"/>
    <w:rsid w:val="00BD7AEF"/>
    <w:rsid w:val="00BE2D04"/>
    <w:rsid w:val="00BE5B55"/>
    <w:rsid w:val="00BF13C5"/>
    <w:rsid w:val="00C33E1D"/>
    <w:rsid w:val="00C74795"/>
    <w:rsid w:val="00C95F55"/>
    <w:rsid w:val="00CA1583"/>
    <w:rsid w:val="00CE5F9C"/>
    <w:rsid w:val="00D0213D"/>
    <w:rsid w:val="00D03EED"/>
    <w:rsid w:val="00D05966"/>
    <w:rsid w:val="00D12E21"/>
    <w:rsid w:val="00D2764A"/>
    <w:rsid w:val="00D4409B"/>
    <w:rsid w:val="00D70A7C"/>
    <w:rsid w:val="00D73FA0"/>
    <w:rsid w:val="00D746E6"/>
    <w:rsid w:val="00D83D79"/>
    <w:rsid w:val="00D969E4"/>
    <w:rsid w:val="00DC7AFC"/>
    <w:rsid w:val="00DE018B"/>
    <w:rsid w:val="00DE5DA5"/>
    <w:rsid w:val="00DF159A"/>
    <w:rsid w:val="00E017AB"/>
    <w:rsid w:val="00E12929"/>
    <w:rsid w:val="00E245F2"/>
    <w:rsid w:val="00E377E5"/>
    <w:rsid w:val="00E37F7F"/>
    <w:rsid w:val="00E4037B"/>
    <w:rsid w:val="00E56486"/>
    <w:rsid w:val="00E601EE"/>
    <w:rsid w:val="00E63DEC"/>
    <w:rsid w:val="00E66F31"/>
    <w:rsid w:val="00E821C5"/>
    <w:rsid w:val="00E903BD"/>
    <w:rsid w:val="00EB4D8D"/>
    <w:rsid w:val="00EC2629"/>
    <w:rsid w:val="00ED2867"/>
    <w:rsid w:val="00EE3BB9"/>
    <w:rsid w:val="00EF0A0A"/>
    <w:rsid w:val="00F00230"/>
    <w:rsid w:val="00F01298"/>
    <w:rsid w:val="00F0531B"/>
    <w:rsid w:val="00F06C1E"/>
    <w:rsid w:val="00F25E6B"/>
    <w:rsid w:val="00F312A1"/>
    <w:rsid w:val="00F3417C"/>
    <w:rsid w:val="00F7056F"/>
    <w:rsid w:val="00F71243"/>
    <w:rsid w:val="00F85BB1"/>
    <w:rsid w:val="00F8755A"/>
    <w:rsid w:val="00F9222A"/>
    <w:rsid w:val="00FA0881"/>
    <w:rsid w:val="00FB1306"/>
    <w:rsid w:val="00FB6D8E"/>
    <w:rsid w:val="00FC0C78"/>
    <w:rsid w:val="00FC64D9"/>
    <w:rsid w:val="00FE007C"/>
    <w:rsid w:val="00FE1012"/>
    <w:rsid w:val="00FF4AE3"/>
    <w:rsid w:val="045E65B0"/>
    <w:rsid w:val="0598666E"/>
    <w:rsid w:val="06570C49"/>
    <w:rsid w:val="0A334D80"/>
    <w:rsid w:val="13171475"/>
    <w:rsid w:val="134A16AA"/>
    <w:rsid w:val="161F615E"/>
    <w:rsid w:val="176A6005"/>
    <w:rsid w:val="1B3543FF"/>
    <w:rsid w:val="1B55DB68"/>
    <w:rsid w:val="1DBDA225"/>
    <w:rsid w:val="1EA35158"/>
    <w:rsid w:val="32B30720"/>
    <w:rsid w:val="33572E8A"/>
    <w:rsid w:val="345E056F"/>
    <w:rsid w:val="396C5FC7"/>
    <w:rsid w:val="3CE855A7"/>
    <w:rsid w:val="3D027873"/>
    <w:rsid w:val="3F7DBD9B"/>
    <w:rsid w:val="3FF3DEF1"/>
    <w:rsid w:val="456B7865"/>
    <w:rsid w:val="490565CC"/>
    <w:rsid w:val="494A6685"/>
    <w:rsid w:val="52237B54"/>
    <w:rsid w:val="53560F17"/>
    <w:rsid w:val="54174191"/>
    <w:rsid w:val="59423C46"/>
    <w:rsid w:val="60FF56B8"/>
    <w:rsid w:val="699319B6"/>
    <w:rsid w:val="6A054EF2"/>
    <w:rsid w:val="6E0F152C"/>
    <w:rsid w:val="6FEE1579"/>
    <w:rsid w:val="742650D2"/>
    <w:rsid w:val="77964FAD"/>
    <w:rsid w:val="77FB43A9"/>
    <w:rsid w:val="7CFEDD9D"/>
    <w:rsid w:val="7D3FEA9A"/>
    <w:rsid w:val="7E845625"/>
    <w:rsid w:val="7FB71BBC"/>
    <w:rsid w:val="A7E770BC"/>
    <w:rsid w:val="B57F4B30"/>
    <w:rsid w:val="E9FF26EE"/>
    <w:rsid w:val="EFDFC652"/>
    <w:rsid w:val="FFFF4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3"/>
    <w:qFormat/>
    <w:uiPriority w:val="0"/>
    <w:pPr>
      <w:snapToGrid w:val="0"/>
      <w:jc w:val="left"/>
    </w:pPr>
    <w:rPr>
      <w:rFonts w:ascii="Calibri" w:hAnsi="Calibri" w:eastAsia="仿宋_GB2312" w:cs="Times New Roman"/>
      <w:sz w:val="32"/>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脚 Char"/>
    <w:basedOn w:val="9"/>
    <w:link w:val="4"/>
    <w:qFormat/>
    <w:uiPriority w:val="99"/>
    <w:rPr>
      <w:kern w:val="2"/>
      <w:sz w:val="18"/>
      <w:szCs w:val="22"/>
    </w:rPr>
  </w:style>
  <w:style w:type="character" w:customStyle="1" w:styleId="11">
    <w:name w:val="批注框文本 Char"/>
    <w:basedOn w:val="9"/>
    <w:link w:val="3"/>
    <w:qFormat/>
    <w:uiPriority w:val="0"/>
    <w:rPr>
      <w:kern w:val="2"/>
      <w:sz w:val="18"/>
      <w:szCs w:val="18"/>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脚注文本 Char"/>
    <w:basedOn w:val="9"/>
    <w:link w:val="6"/>
    <w:qFormat/>
    <w:uiPriority w:val="0"/>
    <w:rPr>
      <w:rFonts w:ascii="Calibri" w:hAnsi="Calibri" w:eastAsia="仿宋_GB2312" w:cs="Times New Roman"/>
      <w:kern w:val="2"/>
      <w:sz w:val="32"/>
      <w:szCs w:val="24"/>
    </w:rPr>
  </w:style>
  <w:style w:type="character" w:customStyle="1" w:styleId="14">
    <w:name w:val="font71"/>
    <w:basedOn w:val="9"/>
    <w:qFormat/>
    <w:uiPriority w:val="0"/>
    <w:rPr>
      <w:rFonts w:hint="default" w:ascii="仿宋_GB2312" w:eastAsia="仿宋_GB2312" w:cs="仿宋_GB2312"/>
      <w:color w:val="000000"/>
      <w:sz w:val="24"/>
      <w:szCs w:val="24"/>
      <w:u w:val="none"/>
    </w:rPr>
  </w:style>
  <w:style w:type="character" w:customStyle="1" w:styleId="15">
    <w:name w:val="font21"/>
    <w:basedOn w:val="9"/>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449</Words>
  <Characters>458</Characters>
  <Lines>54</Lines>
  <Paragraphs>15</Paragraphs>
  <TotalTime>0</TotalTime>
  <ScaleCrop>false</ScaleCrop>
  <LinksUpToDate>false</LinksUpToDate>
  <CharactersWithSpaces>459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2020-09-08T01:24:00Z</dcterms:created>
  <dc:creator>NTKO</dc:creator>
  <cp:lastModifiedBy>uos</cp:lastModifiedBy>
  <cp:lastPrinted>2021-12-10T01:18:00Z</cp:lastPrinted>
  <dcterms:modified xsi:type="dcterms:W3CDTF">2022-09-08T12:44:38Z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C731BDE94DC34CA4A292DFA7D0B21FB1</vt:lpwstr>
  </property>
</Properties>
</file>